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31" w:rsidRDefault="00F76631" w:rsidP="00F76631">
      <w:r>
        <w:t>Charles Spencer (MSc) has been the lead Cardiology Advanced Clinical Practitioner (ACP) at South Warwickshire NHS Foundation Trust since February 2019. Clinical duties include general and subspecialty Cardiology clinics, Cardiology outreach and working alongside the medical team on the Cardiology wards. Prior to this he was a Senior Cardiac Nurse Practitioner at Heartlands Hospital in Birmingham. He has been a non-medical prescriber since 2015 and completed an MSc in Advanced Clinical Practice at Warwick University in 2018. He is an Advanced Life Support (ALS) instructor, a visiting lecturer at Birmingham City University and Warwick University, and a member of various professional bodies including ESC, BSE, BANCC, and ACNAP.</w:t>
      </w:r>
    </w:p>
    <w:p w:rsidR="00163E4D" w:rsidRDefault="00163E4D">
      <w:bookmarkStart w:id="0" w:name="_GoBack"/>
      <w:bookmarkEnd w:id="0"/>
    </w:p>
    <w:sectPr w:rsidR="0016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31"/>
    <w:rsid w:val="00163E4D"/>
    <w:rsid w:val="00F7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8BE8C-A5C3-4BAD-84F8-7449A3B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3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1</cp:revision>
  <dcterms:created xsi:type="dcterms:W3CDTF">2020-12-04T15:54:00Z</dcterms:created>
  <dcterms:modified xsi:type="dcterms:W3CDTF">2020-12-04T15:55:00Z</dcterms:modified>
</cp:coreProperties>
</file>